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C6C1E" w:rsidRDefault="00000000">
      <w:pPr>
        <w:pStyle w:val="Heading3"/>
        <w:ind w:left="0" w:hanging="2"/>
        <w:rPr>
          <w:rFonts w:ascii="Book Antiqua" w:eastAsia="Book Antiqua" w:hAnsi="Book Antiqua" w:cs="Book Antiqua"/>
        </w:rPr>
      </w:pPr>
      <w:r>
        <w:rPr>
          <w:rFonts w:ascii="Book Antiqua" w:eastAsia="Book Antiqua" w:hAnsi="Book Antiqua" w:cs="Book Antiqua"/>
        </w:rPr>
        <w:t>INTERNATIONAL CONFERENCE OF BIOCHEMISTRY, MOLECULAR BIOLOGY &amp;</w:t>
      </w:r>
    </w:p>
    <w:p w:rsidR="00DC6C1E" w:rsidRDefault="00000000">
      <w:pPr>
        <w:pStyle w:val="Heading3"/>
        <w:ind w:left="0" w:hanging="2"/>
        <w:rPr>
          <w:rFonts w:ascii="Book Antiqua" w:eastAsia="Book Antiqua" w:hAnsi="Book Antiqua" w:cs="Book Antiqua"/>
        </w:rPr>
      </w:pPr>
      <w:r>
        <w:rPr>
          <w:rFonts w:ascii="Book Antiqua" w:eastAsia="Book Antiqua" w:hAnsi="Book Antiqua" w:cs="Book Antiqua"/>
        </w:rPr>
        <w:t xml:space="preserve">LABORATORY MEDICINE 2025 </w:t>
      </w:r>
    </w:p>
    <w:p w:rsidR="00DC6C1E" w:rsidRDefault="00000000">
      <w:pPr>
        <w:pStyle w:val="Heading3"/>
        <w:ind w:left="0" w:hanging="2"/>
        <w:rPr>
          <w:rFonts w:ascii="Book Antiqua" w:eastAsia="Book Antiqua" w:hAnsi="Book Antiqua" w:cs="Book Antiqua"/>
          <w:i/>
          <w:sz w:val="20"/>
          <w:szCs w:val="20"/>
        </w:rPr>
      </w:pPr>
      <w:r>
        <w:rPr>
          <w:rFonts w:ascii="Book Antiqua" w:eastAsia="Book Antiqua" w:hAnsi="Book Antiqua" w:cs="Book Antiqua"/>
        </w:rPr>
        <w:t>(ICBMBLM2025)</w:t>
      </w:r>
      <w:r>
        <w:rPr>
          <w:rFonts w:ascii="Book Antiqua" w:eastAsia="Book Antiqua" w:hAnsi="Book Antiqua" w:cs="Book Antiqua"/>
        </w:rPr>
        <w:br/>
      </w:r>
      <w:r>
        <w:rPr>
          <w:rFonts w:ascii="Book Antiqua" w:eastAsia="Book Antiqua" w:hAnsi="Book Antiqua" w:cs="Book Antiqua"/>
          <w:i/>
          <w:sz w:val="20"/>
          <w:szCs w:val="20"/>
        </w:rPr>
        <w:t xml:space="preserve">in conjunction with the </w:t>
      </w:r>
    </w:p>
    <w:p w:rsidR="00DC6C1E" w:rsidRDefault="00000000">
      <w:pPr>
        <w:pStyle w:val="Heading3"/>
        <w:ind w:left="0" w:hanging="2"/>
        <w:rPr>
          <w:rFonts w:ascii="Book Antiqua" w:eastAsia="Book Antiqua" w:hAnsi="Book Antiqua" w:cs="Book Antiqua"/>
        </w:rPr>
      </w:pPr>
      <w:r>
        <w:rPr>
          <w:rFonts w:ascii="Book Antiqua" w:eastAsia="Book Antiqua" w:hAnsi="Book Antiqua" w:cs="Book Antiqua"/>
        </w:rPr>
        <w:t>35th MACB &amp; 49th MSBMB ANNUAL CONFERENCE</w:t>
      </w:r>
    </w:p>
    <w:p w:rsidR="00DC6C1E" w:rsidRDefault="00000000">
      <w:pPr>
        <w:shd w:val="clear" w:color="auto" w:fill="EEEFF0"/>
        <w:spacing w:before="240" w:after="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 Submission guidelines</w:t>
      </w:r>
    </w:p>
    <w:tbl>
      <w:tblPr>
        <w:tblStyle w:val="a2"/>
        <w:tblW w:w="9690" w:type="dxa"/>
        <w:tblBorders>
          <w:top w:val="nil"/>
          <w:left w:val="nil"/>
          <w:bottom w:val="nil"/>
          <w:right w:val="nil"/>
          <w:insideH w:val="nil"/>
          <w:insideV w:val="nil"/>
        </w:tblBorders>
        <w:tblLayout w:type="fixed"/>
        <w:tblLook w:val="0600" w:firstRow="0" w:lastRow="0" w:firstColumn="0" w:lastColumn="0" w:noHBand="1" w:noVBand="1"/>
      </w:tblPr>
      <w:tblGrid>
        <w:gridCol w:w="3150"/>
        <w:gridCol w:w="6540"/>
      </w:tblGrid>
      <w:tr w:rsidR="00DC6C1E">
        <w:trPr>
          <w:trHeight w:val="1845"/>
        </w:trPr>
        <w:tc>
          <w:tcPr>
            <w:tcW w:w="31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Word Limit in body of abstract</w:t>
            </w:r>
          </w:p>
          <w:p w:rsidR="00DC6C1E" w:rsidRDefault="00000000">
            <w:pPr>
              <w:spacing w:before="240" w:line="276"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(excludes title, authors, affiliations)</w:t>
            </w:r>
          </w:p>
        </w:tc>
        <w:tc>
          <w:tcPr>
            <w:tcW w:w="65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 words</w:t>
            </w:r>
          </w:p>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not include tables or figures.</w:t>
            </w:r>
          </w:p>
          <w:p w:rsidR="00DC6C1E" w:rsidRDefault="00000000">
            <w:pPr>
              <w:spacing w:before="240" w:line="276"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Abstracts over 250 words in the body or with tables in the abstract will not be accepted. Your abstract will be sent back to you to reduce to the 250 word limit and remove the tables.</w:t>
            </w:r>
          </w:p>
        </w:tc>
      </w:tr>
      <w:tr w:rsidR="00DC6C1E">
        <w:trPr>
          <w:trHeight w:val="28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 Type</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Times New Roman</w:t>
            </w:r>
          </w:p>
        </w:tc>
      </w:tr>
      <w:tr w:rsidR="00DC6C1E">
        <w:trPr>
          <w:trHeight w:val="28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 Size</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12 point</w:t>
            </w:r>
          </w:p>
        </w:tc>
      </w:tr>
      <w:tr w:rsidR="00DC6C1E">
        <w:trPr>
          <w:trHeight w:val="28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Line Spacing</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r>
      <w:tr w:rsidR="00DC6C1E">
        <w:trPr>
          <w:trHeight w:val="130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UPPERCASE AND BOLD</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Please avoid the use of brand / company names in the title</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Left and Justify</w:t>
            </w:r>
          </w:p>
        </w:tc>
      </w:tr>
      <w:tr w:rsidR="00DC6C1E">
        <w:trPr>
          <w:trHeight w:val="157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w:t>
            </w:r>
          </w:p>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(leave one line space between authors &amp; title)</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Presenting author is bold and underlined.</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If more than one author &amp; address insert a superscript number at the end of the name after a comma (for each author).</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Left and justify</w:t>
            </w:r>
          </w:p>
        </w:tc>
      </w:tr>
      <w:tr w:rsidR="00DC6C1E">
        <w:trPr>
          <w:trHeight w:val="157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 Address</w:t>
            </w:r>
          </w:p>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(next line under authors)</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Include institution, city, state (Do not include department names).</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If more than one author / address designates each author’s address by a superscripted number before the address.</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Left and justify</w:t>
            </w:r>
          </w:p>
        </w:tc>
      </w:tr>
      <w:tr w:rsidR="00DC6C1E">
        <w:trPr>
          <w:trHeight w:val="28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 address</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Insert presenting author’s email address</w:t>
            </w:r>
          </w:p>
        </w:tc>
      </w:tr>
      <w:tr w:rsidR="00DC6C1E">
        <w:trPr>
          <w:trHeight w:val="5145"/>
        </w:trPr>
        <w:tc>
          <w:tcPr>
            <w:tcW w:w="31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Main body</w:t>
            </w:r>
          </w:p>
          <w:p w:rsidR="00DC6C1E" w:rsidRDefault="00000000">
            <w:pPr>
              <w:spacing w:before="24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(leave one line space between email address &amp; main body)</w:t>
            </w:r>
          </w:p>
        </w:tc>
        <w:tc>
          <w:tcPr>
            <w:tcW w:w="6540" w:type="dxa"/>
            <w:tcBorders>
              <w:top w:val="nil"/>
              <w:left w:val="nil"/>
              <w:bottom w:val="single" w:sz="6" w:space="0" w:color="000000"/>
              <w:right w:val="single" w:sz="6" w:space="0" w:color="000000"/>
            </w:tcBorders>
            <w:tcMar>
              <w:top w:w="0" w:type="dxa"/>
              <w:left w:w="100" w:type="dxa"/>
              <w:bottom w:w="0" w:type="dxa"/>
              <w:right w:w="100" w:type="dxa"/>
            </w:tcMar>
          </w:tcPr>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abstract should be an informative document able to stand alone in its content and meaning</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body should be presented under the following headings:</w:t>
            </w:r>
          </w:p>
          <w:p w:rsidR="00DC6C1E" w:rsidRDefault="00000000">
            <w:pPr>
              <w:spacing w:line="276" w:lineRule="auto"/>
              <w:ind w:left="0" w:hanging="2"/>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Introduction (the study objectives)</w:t>
            </w:r>
          </w:p>
          <w:p w:rsidR="00DC6C1E" w:rsidRDefault="00000000">
            <w:pPr>
              <w:spacing w:line="276" w:lineRule="auto"/>
              <w:ind w:left="0" w:hanging="2"/>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Methods (a brief statement of methods used)</w:t>
            </w:r>
          </w:p>
          <w:p w:rsidR="00DC6C1E" w:rsidRDefault="00000000">
            <w:pPr>
              <w:spacing w:line="276" w:lineRule="auto"/>
              <w:ind w:left="0" w:hanging="2"/>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Results (a summary of results, including statistical significance in text; do not include tables or figures. It is not sufficient to say that results will be discussed)</w:t>
            </w:r>
          </w:p>
          <w:p w:rsidR="00DC6C1E" w:rsidRDefault="00000000">
            <w:pPr>
              <w:spacing w:line="276" w:lineRule="auto"/>
              <w:ind w:left="0" w:hanging="2"/>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Conclusions (a brief but clear conclusion drawn from the results shown)</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content must not have been previously published.</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 abbreviations with restraint. Terms must be spelt fully the first time they appear.</w:t>
            </w:r>
          </w:p>
          <w:p w:rsidR="00DC6C1E" w:rsidRDefault="00000000">
            <w:pPr>
              <w:spacing w:before="24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Fully justify</w:t>
            </w:r>
          </w:p>
        </w:tc>
      </w:tr>
    </w:tbl>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DC6C1E">
      <w:pPr>
        <w:spacing w:before="240" w:after="240"/>
        <w:ind w:left="0" w:hanging="2"/>
        <w:jc w:val="both"/>
        <w:rPr>
          <w:rFonts w:ascii="Times New Roman" w:eastAsia="Times New Roman" w:hAnsi="Times New Roman" w:cs="Times New Roman"/>
          <w:b/>
          <w:sz w:val="24"/>
          <w:szCs w:val="24"/>
        </w:rPr>
      </w:pPr>
    </w:p>
    <w:p w:rsidR="00DC6C1E" w:rsidRDefault="00000000">
      <w:pPr>
        <w:spacing w:before="240" w:after="2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TEMPLATE FOR ABSTRACT SUBMISSION</w:t>
      </w:r>
    </w:p>
    <w:tbl>
      <w:tblPr>
        <w:tblStyle w:val="a3"/>
        <w:tblW w:w="10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75"/>
      </w:tblGrid>
      <w:tr w:rsidR="00DC6C1E">
        <w:tc>
          <w:tcPr>
            <w:tcW w:w="10175" w:type="dxa"/>
            <w:shd w:val="clear" w:color="auto" w:fill="auto"/>
            <w:tcMar>
              <w:top w:w="100" w:type="dxa"/>
              <w:left w:w="100" w:type="dxa"/>
              <w:bottom w:w="100" w:type="dxa"/>
              <w:right w:w="100" w:type="dxa"/>
            </w:tcMar>
          </w:tcPr>
          <w:p w:rsidR="00DC6C1E" w:rsidRDefault="00000000">
            <w:pPr>
              <w:widowControl w:val="0"/>
              <w:spacing w:before="260" w:after="2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COMMITMENT TO SUSTAINABILITY FROM LABORATORY MEDICINE</w:t>
            </w:r>
          </w:p>
          <w:p w:rsidR="00DC6C1E" w:rsidRDefault="00000000">
            <w:pPr>
              <w:widowControl w:val="0"/>
              <w:spacing w:before="240" w:after="24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Yeoh Ai Chin</w:t>
            </w:r>
            <w:r>
              <w:rPr>
                <w:rFonts w:ascii="Times New Roman" w:eastAsia="Times New Roman" w:hAnsi="Times New Roman" w:cs="Times New Roman"/>
                <w:sz w:val="24"/>
                <w:szCs w:val="24"/>
              </w:rPr>
              <w:t xml:space="preserve">, Carol Saw Mei Yin, Rafidah </w:t>
            </w:r>
            <w:proofErr w:type="spellStart"/>
            <w:r>
              <w:rPr>
                <w:rFonts w:ascii="Times New Roman" w:eastAsia="Times New Roman" w:hAnsi="Times New Roman" w:cs="Times New Roman"/>
                <w:sz w:val="24"/>
                <w:szCs w:val="24"/>
              </w:rPr>
              <w:t>Ngabedan</w:t>
            </w:r>
            <w:proofErr w:type="spellEnd"/>
            <w:r>
              <w:rPr>
                <w:rFonts w:ascii="Times New Roman" w:eastAsia="Times New Roman" w:hAnsi="Times New Roman" w:cs="Times New Roman"/>
                <w:sz w:val="24"/>
                <w:szCs w:val="24"/>
              </w:rPr>
              <w:t>, Farhi Ain Jamaluddin, Chew Yee Yean</w:t>
            </w:r>
          </w:p>
          <w:p w:rsidR="00DC6C1E" w:rsidRDefault="00000000">
            <w:pPr>
              <w:widowControl w:val="0"/>
              <w:spacing w:before="240" w:after="2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Division of Laboratory Medicine, Department of Pathology, University Malaya Medical Centre, Kuala Lumpur, Malaysia (UMMC)</w:t>
            </w:r>
          </w:p>
          <w:p w:rsidR="00DC6C1E" w:rsidRDefault="00000000">
            <w:pPr>
              <w:widowControl w:val="0"/>
              <w:spacing w:before="240" w:after="2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yachin@ummc.edu.my</w:t>
            </w:r>
          </w:p>
          <w:p w:rsidR="00DC6C1E" w:rsidRDefault="00000000">
            <w:pPr>
              <w:widowControl w:val="0"/>
              <w:spacing w:before="240" w:after="24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According to McGill University, sustainability means “meeting our needs without compromising the ability of future generations to meet their own needs”. Sustainable environmental practices improve water and air quality, reduce landfills, and increase renewable energy sources in the long term. In response to the growing urgency of global sustainability challenges, the healthcare industry is taking a step forward to reduce its environmental impact. University of Malaya Medical Centre (UMMC) is a government-funded teaching hospital and medical institution, which processes about 3.95 million chemistry and 371,000 immunoassay tests per year. This study aims to evaluate the sustainability aspects of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Solution, focusing on water usage, power consumption, carbon dioxide emissions and plastic waste generations.</w:t>
            </w:r>
          </w:p>
          <w:p w:rsidR="00DC6C1E" w:rsidRDefault="00000000">
            <w:pPr>
              <w:widowControl w:val="0"/>
              <w:spacing w:before="240" w:after="24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Methods: Power and water consumption for the </w:t>
            </w:r>
            <w:proofErr w:type="spellStart"/>
            <w:r>
              <w:rPr>
                <w:rFonts w:ascii="Times New Roman" w:eastAsia="Times New Roman" w:hAnsi="Times New Roman" w:cs="Times New Roman"/>
                <w:sz w:val="24"/>
                <w:szCs w:val="24"/>
              </w:rPr>
              <w:t>analysers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Advia</w:t>
            </w:r>
            <w:proofErr w:type="spellEnd"/>
            <w:r>
              <w:rPr>
                <w:rFonts w:ascii="Times New Roman" w:eastAsia="Times New Roman" w:hAnsi="Times New Roman" w:cs="Times New Roman"/>
                <w:sz w:val="24"/>
                <w:szCs w:val="24"/>
              </w:rPr>
              <w:t xml:space="preserve"> Chemistry 2400 &amp; XPT and </w:t>
            </w:r>
            <w:proofErr w:type="spellStart"/>
            <w:r>
              <w:rPr>
                <w:rFonts w:ascii="Times New Roman" w:eastAsia="Times New Roman" w:hAnsi="Times New Roman" w:cs="Times New Roman"/>
                <w:sz w:val="24"/>
                <w:szCs w:val="24"/>
              </w:rPr>
              <w:t>Advia</w:t>
            </w:r>
            <w:proofErr w:type="spellEnd"/>
            <w:r>
              <w:rPr>
                <w:rFonts w:ascii="Times New Roman" w:eastAsia="Times New Roman" w:hAnsi="Times New Roman" w:cs="Times New Roman"/>
                <w:sz w:val="24"/>
                <w:szCs w:val="24"/>
              </w:rPr>
              <w:t xml:space="preserve"> Centaur XPT were obtained from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Solution using 2022 test volumes and it was compared  with Siemens legacy system for the year 2019 test volumes. In addition, the reduction of plastic usage was also assessed for the year 2019 and 2022.</w:t>
            </w:r>
          </w:p>
          <w:p w:rsidR="00DC6C1E" w:rsidRDefault="00000000">
            <w:pPr>
              <w:widowControl w:val="0"/>
              <w:spacing w:before="240" w:after="24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With innovative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Solution replacing Siemens legacy system, the data showed reduction in water and energy consumption by 36.44% and 47.74% respectively, whereas the annual throughput increased by 13.7%. Using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INTELIQ QC management, fewer aliquot tubes were used and thus reduced plastic waste by 168 kg. These reductions combined to lower CO</w:t>
            </w:r>
            <w:r>
              <w:rPr>
                <w:rFonts w:ascii="Times New Roman" w:eastAsia="Times New Roman" w:hAnsi="Times New Roman" w:cs="Times New Roman"/>
                <w:sz w:val="40"/>
                <w:szCs w:val="40"/>
                <w:vertAlign w:val="subscript"/>
              </w:rPr>
              <w:t>2</w:t>
            </w:r>
            <w:r>
              <w:rPr>
                <w:rFonts w:ascii="Times New Roman" w:eastAsia="Times New Roman" w:hAnsi="Times New Roman" w:cs="Times New Roman"/>
                <w:sz w:val="24"/>
                <w:szCs w:val="24"/>
              </w:rPr>
              <w:t xml:space="preserve"> emissions by about 16 tons.</w:t>
            </w:r>
          </w:p>
          <w:p w:rsidR="00DC6C1E" w:rsidRDefault="00000000">
            <w:pPr>
              <w:widowControl w:val="0"/>
              <w:spacing w:before="240" w:after="24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Solution is designed for high throughput and sustainability, reducing water and energy consumption while also avoiding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emissions. Furthermore, it enables faster, streamlined quality control management with </w:t>
            </w:r>
            <w:proofErr w:type="spellStart"/>
            <w:r>
              <w:rPr>
                <w:rFonts w:ascii="Times New Roman" w:eastAsia="Times New Roman" w:hAnsi="Times New Roman" w:cs="Times New Roman"/>
                <w:sz w:val="24"/>
                <w:szCs w:val="24"/>
              </w:rPr>
              <w:t>Atellica</w:t>
            </w:r>
            <w:proofErr w:type="spellEnd"/>
            <w:r>
              <w:rPr>
                <w:rFonts w:ascii="Times New Roman" w:eastAsia="Times New Roman" w:hAnsi="Times New Roman" w:cs="Times New Roman"/>
                <w:sz w:val="24"/>
                <w:szCs w:val="24"/>
              </w:rPr>
              <w:t xml:space="preserve"> INTELIQ. UMMC is strongly committed to minimizing laboratories’ environmental footprint and providing better access to care and contributes to the well-being of patients.</w:t>
            </w:r>
          </w:p>
        </w:tc>
      </w:tr>
    </w:tbl>
    <w:p w:rsidR="00DC6C1E" w:rsidRDefault="00000000">
      <w:pPr>
        <w:ind w:left="0" w:hanging="2"/>
        <w:rPr>
          <w:rFonts w:ascii="Book Antiqua" w:eastAsia="Book Antiqua" w:hAnsi="Book Antiqua" w:cs="Book Antiqua"/>
          <w:sz w:val="24"/>
          <w:szCs w:val="24"/>
        </w:rPr>
      </w:pPr>
      <w:r>
        <w:rPr>
          <w:rFonts w:ascii="Book Antiqua" w:eastAsia="Book Antiqua" w:hAnsi="Book Antiqua" w:cs="Book Antiqua"/>
          <w:b/>
          <w:sz w:val="24"/>
          <w:szCs w:val="24"/>
        </w:rPr>
        <w:br/>
        <w:t>Pick ONE Category from :</w:t>
      </w:r>
    </w:p>
    <w:p w:rsidR="00DC6C1E" w:rsidRDefault="00000000">
      <w:pPr>
        <w:ind w:left="0" w:hanging="2"/>
        <w:rPr>
          <w:rFonts w:ascii="Book Antiqua" w:eastAsia="Book Antiqua" w:hAnsi="Book Antiqua" w:cs="Book Antiqua"/>
          <w:sz w:val="24"/>
          <w:szCs w:val="24"/>
        </w:rPr>
      </w:pPr>
      <w:r>
        <w:rPr>
          <w:rFonts w:ascii="Book Antiqua" w:eastAsia="Book Antiqua" w:hAnsi="Book Antiqua" w:cs="Book Antiqua"/>
          <w:b/>
          <w:sz w:val="24"/>
          <w:szCs w:val="24"/>
        </w:rPr>
        <w:t xml:space="preserve">   </w:t>
      </w:r>
    </w:p>
    <w:p w:rsidR="00DC6C1E" w:rsidRDefault="00000000">
      <w:p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A. Genetics, Epigenetics and Stem Cell Biology</w:t>
      </w: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12700</wp:posOffset>
                </wp:positionV>
                <wp:extent cx="203200" cy="209550"/>
                <wp:effectExtent l="0" t="0" r="0" b="0"/>
                <wp:wrapNone/>
                <wp:docPr id="21" name="Rectangle 21"/>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000000">
                            <w:pPr>
                              <w:spacing w:line="240" w:lineRule="auto"/>
                              <w:ind w:left="0" w:hanging="2"/>
                            </w:pPr>
                            <w:r>
                              <w:rPr>
                                <w:color w:val="000000"/>
                              </w:rPr>
                              <w:t xml:space="preserve">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203200" cy="209550"/>
                <wp:effectExtent b="0" l="0" r="0" t="0"/>
                <wp:wrapNone/>
                <wp:docPr id="2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B. Protein Structure, Function &amp; Dynamics</w:t>
      </w: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03200" cy="209550"/>
                <wp:effectExtent l="0" t="0" r="0" b="0"/>
                <wp:wrapNone/>
                <wp:docPr id="15" name="Rectangle 15"/>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3200" cy="209550"/>
                <wp:effectExtent b="0" l="0" r="0" t="0"/>
                <wp:wrapNone/>
                <wp:docPr id="1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numPr>
          <w:ilvl w:val="0"/>
          <w:numId w:val="1"/>
        </w:num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C. Diseases – Parasitic, Metabolic, Viral , Bacterial, Neonatal/</w:t>
      </w:r>
      <w:proofErr w:type="spellStart"/>
      <w:r>
        <w:rPr>
          <w:rFonts w:ascii="Book Antiqua" w:eastAsia="Book Antiqua" w:hAnsi="Book Antiqua" w:cs="Book Antiqua"/>
          <w:sz w:val="24"/>
          <w:szCs w:val="24"/>
        </w:rPr>
        <w:t>Paediatric</w:t>
      </w:r>
      <w:proofErr w:type="spellEnd"/>
      <w:r>
        <w:rPr>
          <w:rFonts w:ascii="Book Antiqua" w:eastAsia="Book Antiqua" w:hAnsi="Book Antiqua" w:cs="Book Antiqua"/>
          <w:sz w:val="24"/>
          <w:szCs w:val="24"/>
        </w:rPr>
        <w:t xml:space="preserve">, Chronic </w:t>
      </w:r>
      <w:r>
        <w:rPr>
          <w:rFonts w:ascii="Book Antiqua" w:eastAsia="Book Antiqua" w:hAnsi="Book Antiqua" w:cs="Book Antiqua"/>
          <w:sz w:val="24"/>
          <w:szCs w:val="24"/>
        </w:rPr>
        <w:br/>
        <w:t xml:space="preserve">                    Diseases</w:t>
      </w:r>
      <w:r>
        <w:rPr>
          <w:noProof/>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0</wp:posOffset>
                </wp:positionV>
                <wp:extent cx="203200" cy="209550"/>
                <wp:effectExtent l="0" t="0" r="0" b="0"/>
                <wp:wrapNone/>
                <wp:docPr id="13" name="Rectangle 13"/>
                <wp:cNvGraphicFramePr/>
                <a:graphic xmlns:a="http://schemas.openxmlformats.org/drawingml/2006/main">
                  <a:graphicData uri="http://schemas.microsoft.com/office/word/2010/wordprocessingShape">
                    <wps:wsp>
                      <wps:cNvSpPr/>
                      <wps:spPr>
                        <a:xfrm>
                          <a:off x="5253925" y="3684750"/>
                          <a:ext cx="1841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03200" cy="209550"/>
                <wp:effectExtent b="0" l="0" r="0" t="0"/>
                <wp:wrapNone/>
                <wp:docPr id="1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numPr>
          <w:ilvl w:val="0"/>
          <w:numId w:val="1"/>
        </w:num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D. Lipid, Membrane Biology and Immunology</w:t>
      </w:r>
      <w:r>
        <w:rPr>
          <w:noProof/>
        </w:rPr>
        <mc:AlternateContent>
          <mc:Choice Requires="wpg">
            <w:drawing>
              <wp:anchor distT="0" distB="0" distL="114300" distR="114300" simplePos="0" relativeHeight="251661312" behindDoc="0" locked="0" layoutInCell="1" hidden="0" allowOverlap="1">
                <wp:simplePos x="0" y="0"/>
                <wp:positionH relativeFrom="column">
                  <wp:posOffset>12701</wp:posOffset>
                </wp:positionH>
                <wp:positionV relativeFrom="paragraph">
                  <wp:posOffset>266700</wp:posOffset>
                </wp:positionV>
                <wp:extent cx="203200" cy="209550"/>
                <wp:effectExtent l="0" t="0" r="0" b="0"/>
                <wp:wrapNone/>
                <wp:docPr id="12" name="Rectangle 12"/>
                <wp:cNvGraphicFramePr/>
                <a:graphic xmlns:a="http://schemas.openxmlformats.org/drawingml/2006/main">
                  <a:graphicData uri="http://schemas.microsoft.com/office/word/2010/wordprocessingShape">
                    <wps:wsp>
                      <wps:cNvSpPr/>
                      <wps:spPr>
                        <a:xfrm>
                          <a:off x="5253925" y="3684750"/>
                          <a:ext cx="1841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266700</wp:posOffset>
                </wp:positionV>
                <wp:extent cx="203200" cy="209550"/>
                <wp:effectExtent b="0" l="0" r="0" t="0"/>
                <wp:wrapNone/>
                <wp:docPr id="1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12701</wp:posOffset>
                </wp:positionH>
                <wp:positionV relativeFrom="paragraph">
                  <wp:posOffset>0</wp:posOffset>
                </wp:positionV>
                <wp:extent cx="203200" cy="209550"/>
                <wp:effectExtent l="0" t="0" r="0" b="0"/>
                <wp:wrapNone/>
                <wp:docPr id="14" name="Rectangle 14"/>
                <wp:cNvGraphicFramePr/>
                <a:graphic xmlns:a="http://schemas.openxmlformats.org/drawingml/2006/main">
                  <a:graphicData uri="http://schemas.microsoft.com/office/word/2010/wordprocessingShape">
                    <wps:wsp>
                      <wps:cNvSpPr/>
                      <wps:spPr>
                        <a:xfrm>
                          <a:off x="5253925" y="3684750"/>
                          <a:ext cx="1841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03200" cy="209550"/>
                <wp:effectExtent b="0" l="0" r="0" t="0"/>
                <wp:wrapNone/>
                <wp:docPr id="14"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numPr>
          <w:ilvl w:val="0"/>
          <w:numId w:val="1"/>
        </w:num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E. Bioinformatics and Systems Biology</w:t>
      </w:r>
      <w:r>
        <w:rPr>
          <w:noProof/>
        </w:rPr>
        <mc:AlternateContent>
          <mc:Choice Requires="wpg">
            <w:drawing>
              <wp:anchor distT="0" distB="0" distL="114300" distR="114300" simplePos="0" relativeHeight="251663360" behindDoc="0" locked="0" layoutInCell="1" hidden="0" allowOverlap="1">
                <wp:simplePos x="0" y="0"/>
                <wp:positionH relativeFrom="column">
                  <wp:posOffset>12701</wp:posOffset>
                </wp:positionH>
                <wp:positionV relativeFrom="paragraph">
                  <wp:posOffset>266700</wp:posOffset>
                </wp:positionV>
                <wp:extent cx="203200" cy="209550"/>
                <wp:effectExtent l="0" t="0" r="0" b="0"/>
                <wp:wrapNone/>
                <wp:docPr id="17" name="Rectangle 17"/>
                <wp:cNvGraphicFramePr/>
                <a:graphic xmlns:a="http://schemas.openxmlformats.org/drawingml/2006/main">
                  <a:graphicData uri="http://schemas.microsoft.com/office/word/2010/wordprocessingShape">
                    <wps:wsp>
                      <wps:cNvSpPr/>
                      <wps:spPr>
                        <a:xfrm>
                          <a:off x="5253925" y="3684750"/>
                          <a:ext cx="1841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266700</wp:posOffset>
                </wp:positionV>
                <wp:extent cx="203200" cy="209550"/>
                <wp:effectExtent b="0" l="0" r="0" t="0"/>
                <wp:wrapNone/>
                <wp:docPr id="17"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numPr>
          <w:ilvl w:val="0"/>
          <w:numId w:val="1"/>
        </w:num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F. Drug Discovery, Natural Products, Therapeutic Drug Monitoring, Toxicology</w:t>
      </w:r>
    </w:p>
    <w:p w:rsidR="00DC6C1E" w:rsidRDefault="00000000">
      <w:p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               G. Cancer and Cellular Diseases </w:t>
      </w:r>
      <w:r>
        <w:rPr>
          <w:noProof/>
        </w:rPr>
        <mc:AlternateContent>
          <mc:Choice Requires="wpg">
            <w:drawing>
              <wp:anchor distT="0" distB="0" distL="114300" distR="114300" simplePos="0" relativeHeight="251664384" behindDoc="0" locked="0" layoutInCell="1" hidden="0" allowOverlap="1">
                <wp:simplePos x="0" y="0"/>
                <wp:positionH relativeFrom="column">
                  <wp:posOffset>50801</wp:posOffset>
                </wp:positionH>
                <wp:positionV relativeFrom="paragraph">
                  <wp:posOffset>0</wp:posOffset>
                </wp:positionV>
                <wp:extent cx="203200" cy="209550"/>
                <wp:effectExtent l="0" t="0" r="0" b="0"/>
                <wp:wrapNone/>
                <wp:docPr id="20" name="Rectangle 20"/>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203200" cy="209550"/>
                <wp:effectExtent b="0" l="0" r="0" t="0"/>
                <wp:wrapNone/>
                <wp:docPr id="20"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H. Biochemistry – Agricultural, Clinical, Zoological, Endocrinology, Metabolic </w:t>
      </w:r>
      <w:r>
        <w:rPr>
          <w:rFonts w:ascii="Book Antiqua" w:eastAsia="Book Antiqua" w:hAnsi="Book Antiqua" w:cs="Book Antiqua"/>
          <w:sz w:val="24"/>
          <w:szCs w:val="24"/>
        </w:rPr>
        <w:br/>
        <w:t xml:space="preserve">                     Medicine, Immunology</w:t>
      </w:r>
      <w:r>
        <w:rPr>
          <w:noProof/>
        </w:rPr>
        <mc:AlternateContent>
          <mc:Choice Requires="wpg">
            <w:drawing>
              <wp:anchor distT="0" distB="0" distL="114300" distR="114300" simplePos="0" relativeHeight="251665408" behindDoc="0" locked="0" layoutInCell="1" hidden="0" allowOverlap="1">
                <wp:simplePos x="0" y="0"/>
                <wp:positionH relativeFrom="column">
                  <wp:posOffset>66676</wp:posOffset>
                </wp:positionH>
                <wp:positionV relativeFrom="paragraph">
                  <wp:posOffset>0</wp:posOffset>
                </wp:positionV>
                <wp:extent cx="203200" cy="209550"/>
                <wp:effectExtent l="0" t="0" r="0" b="0"/>
                <wp:wrapNone/>
                <wp:docPr id="16" name="Rectangle 16"/>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66676</wp:posOffset>
                </wp:positionH>
                <wp:positionV relativeFrom="paragraph">
                  <wp:posOffset>0</wp:posOffset>
                </wp:positionV>
                <wp:extent cx="203200" cy="209550"/>
                <wp:effectExtent b="0" l="0" r="0" t="0"/>
                <wp:wrapNone/>
                <wp:docPr id="1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spacing w:line="360" w:lineRule="auto"/>
        <w:ind w:left="0" w:hanging="2"/>
        <w:rPr>
          <w:rFonts w:ascii="Book Antiqua" w:eastAsia="Book Antiqua" w:hAnsi="Book Antiqua" w:cs="Book Antiqua"/>
          <w:sz w:val="24"/>
          <w:szCs w:val="24"/>
        </w:rPr>
      </w:pPr>
      <w:r>
        <w:rPr>
          <w:rFonts w:ascii="Book Antiqua" w:eastAsia="Book Antiqua" w:hAnsi="Book Antiqua" w:cs="Book Antiqua"/>
          <w:sz w:val="24"/>
          <w:szCs w:val="24"/>
        </w:rPr>
        <w:t xml:space="preserve">                I. Molecular Diagnostics, Laboratory Medicine, Laboratory Management, Quality </w:t>
      </w:r>
      <w:r>
        <w:rPr>
          <w:rFonts w:ascii="Book Antiqua" w:eastAsia="Book Antiqua" w:hAnsi="Book Antiqua" w:cs="Book Antiqua"/>
          <w:sz w:val="24"/>
          <w:szCs w:val="24"/>
        </w:rPr>
        <w:br/>
        <w:t xml:space="preserve">                    Assurance/Quality Control, Emerging technologies, Artificial Intelligence, Clinical </w:t>
      </w:r>
      <w:r>
        <w:rPr>
          <w:rFonts w:ascii="Book Antiqua" w:eastAsia="Book Antiqua" w:hAnsi="Book Antiqua" w:cs="Book Antiqua"/>
          <w:sz w:val="24"/>
          <w:szCs w:val="24"/>
        </w:rPr>
        <w:br/>
        <w:t xml:space="preserve">                    Decision Support, Machine Learning, Point of Care Testing, Critical Care,     </w:t>
      </w:r>
      <w:r>
        <w:rPr>
          <w:rFonts w:ascii="Book Antiqua" w:eastAsia="Book Antiqua" w:hAnsi="Book Antiqua" w:cs="Book Antiqua"/>
          <w:sz w:val="24"/>
          <w:szCs w:val="24"/>
        </w:rPr>
        <w:br/>
        <w:t xml:space="preserve">                    Emergency Medicine, Precision Medicine, Personalized Diagnostics</w:t>
      </w:r>
      <w:r>
        <w:rPr>
          <w:noProof/>
        </w:rPr>
        <mc:AlternateContent>
          <mc:Choice Requires="wpg">
            <w:drawing>
              <wp:anchor distT="0" distB="0" distL="114300" distR="114300" simplePos="0" relativeHeight="251666432" behindDoc="0" locked="0" layoutInCell="1" hidden="0" allowOverlap="1">
                <wp:simplePos x="0" y="0"/>
                <wp:positionH relativeFrom="column">
                  <wp:posOffset>63501</wp:posOffset>
                </wp:positionH>
                <wp:positionV relativeFrom="paragraph">
                  <wp:posOffset>0</wp:posOffset>
                </wp:positionV>
                <wp:extent cx="203200" cy="209550"/>
                <wp:effectExtent l="0" t="0" r="0" b="0"/>
                <wp:wrapNone/>
                <wp:docPr id="18" name="Rectangle 18"/>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203200" cy="209550"/>
                <wp:effectExtent b="0" l="0" r="0" t="0"/>
                <wp:wrapNone/>
                <wp:docPr id="1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DC6C1E">
      <w:pPr>
        <w:spacing w:line="360" w:lineRule="auto"/>
        <w:ind w:left="0" w:hanging="2"/>
        <w:rPr>
          <w:rFonts w:ascii="Book Antiqua" w:eastAsia="Book Antiqua" w:hAnsi="Book Antiqua" w:cs="Book Antiqua"/>
        </w:rPr>
      </w:pPr>
    </w:p>
    <w:tbl>
      <w:tblPr>
        <w:tblStyle w:val="a4"/>
        <w:tblW w:w="8194" w:type="dxa"/>
        <w:jc w:val="center"/>
        <w:tblLayout w:type="fixed"/>
        <w:tblLook w:val="0000" w:firstRow="0" w:lastRow="0" w:firstColumn="0" w:lastColumn="0" w:noHBand="0" w:noVBand="0"/>
      </w:tblPr>
      <w:tblGrid>
        <w:gridCol w:w="3330"/>
        <w:gridCol w:w="454"/>
        <w:gridCol w:w="1256"/>
        <w:gridCol w:w="936"/>
        <w:gridCol w:w="454"/>
        <w:gridCol w:w="1764"/>
      </w:tblGrid>
      <w:tr w:rsidR="00DC6C1E">
        <w:trPr>
          <w:trHeight w:val="394"/>
          <w:jc w:val="center"/>
        </w:trPr>
        <w:tc>
          <w:tcPr>
            <w:tcW w:w="3330" w:type="dxa"/>
            <w:tcBorders>
              <w:right w:val="single" w:sz="4" w:space="0" w:color="000000"/>
            </w:tcBorders>
          </w:tcPr>
          <w:p w:rsidR="00DC6C1E" w:rsidRDefault="00000000">
            <w:pPr>
              <w:ind w:left="0" w:hanging="2"/>
              <w:rPr>
                <w:rFonts w:ascii="Book Antiqua" w:eastAsia="Book Antiqua" w:hAnsi="Book Antiqua" w:cs="Book Antiqua"/>
                <w:sz w:val="24"/>
                <w:szCs w:val="24"/>
              </w:rPr>
            </w:pPr>
            <w:r>
              <w:rPr>
                <w:rFonts w:ascii="Book Antiqua" w:eastAsia="Book Antiqua" w:hAnsi="Book Antiqua" w:cs="Book Antiqua"/>
                <w:sz w:val="24"/>
                <w:szCs w:val="24"/>
              </w:rPr>
              <w:t>Presentation type</w:t>
            </w:r>
          </w:p>
        </w:tc>
        <w:tc>
          <w:tcPr>
            <w:tcW w:w="454" w:type="dxa"/>
            <w:tcBorders>
              <w:top w:val="single" w:sz="4" w:space="0" w:color="000000"/>
              <w:left w:val="single" w:sz="4" w:space="0" w:color="000000"/>
              <w:bottom w:val="single" w:sz="4" w:space="0" w:color="000000"/>
              <w:right w:val="single" w:sz="4" w:space="0" w:color="000000"/>
            </w:tcBorders>
          </w:tcPr>
          <w:p w:rsidR="00DC6C1E" w:rsidRDefault="00DC6C1E">
            <w:pPr>
              <w:ind w:left="0" w:hanging="2"/>
              <w:rPr>
                <w:rFonts w:ascii="Book Antiqua" w:eastAsia="Book Antiqua" w:hAnsi="Book Antiqua" w:cs="Book Antiqua"/>
                <w:sz w:val="24"/>
                <w:szCs w:val="24"/>
              </w:rPr>
            </w:pPr>
          </w:p>
        </w:tc>
        <w:tc>
          <w:tcPr>
            <w:tcW w:w="2192" w:type="dxa"/>
            <w:gridSpan w:val="2"/>
            <w:tcBorders>
              <w:left w:val="single" w:sz="4" w:space="0" w:color="000000"/>
              <w:right w:val="single" w:sz="4" w:space="0" w:color="000000"/>
            </w:tcBorders>
          </w:tcPr>
          <w:p w:rsidR="00DC6C1E" w:rsidRDefault="00000000">
            <w:pPr>
              <w:ind w:left="0" w:hanging="2"/>
              <w:rPr>
                <w:rFonts w:ascii="Book Antiqua" w:eastAsia="Book Antiqua" w:hAnsi="Book Antiqua" w:cs="Book Antiqua"/>
                <w:sz w:val="24"/>
                <w:szCs w:val="24"/>
              </w:rPr>
            </w:pPr>
            <w:r>
              <w:rPr>
                <w:rFonts w:ascii="Book Antiqua" w:eastAsia="Book Antiqua" w:hAnsi="Book Antiqua" w:cs="Book Antiqua"/>
                <w:sz w:val="24"/>
                <w:szCs w:val="24"/>
              </w:rPr>
              <w:t>Oral</w:t>
            </w:r>
          </w:p>
        </w:tc>
        <w:tc>
          <w:tcPr>
            <w:tcW w:w="454" w:type="dxa"/>
            <w:tcBorders>
              <w:top w:val="single" w:sz="4" w:space="0" w:color="000000"/>
              <w:left w:val="single" w:sz="4" w:space="0" w:color="000000"/>
              <w:bottom w:val="single" w:sz="4" w:space="0" w:color="000000"/>
              <w:right w:val="single" w:sz="4" w:space="0" w:color="000000"/>
            </w:tcBorders>
          </w:tcPr>
          <w:p w:rsidR="00DC6C1E" w:rsidRDefault="00DC6C1E">
            <w:pPr>
              <w:ind w:left="0" w:hanging="2"/>
              <w:rPr>
                <w:rFonts w:ascii="Book Antiqua" w:eastAsia="Book Antiqua" w:hAnsi="Book Antiqua" w:cs="Book Antiqua"/>
                <w:sz w:val="24"/>
                <w:szCs w:val="24"/>
              </w:rPr>
            </w:pPr>
          </w:p>
        </w:tc>
        <w:tc>
          <w:tcPr>
            <w:tcW w:w="1764" w:type="dxa"/>
            <w:tcBorders>
              <w:left w:val="single" w:sz="4" w:space="0" w:color="000000"/>
            </w:tcBorders>
          </w:tcPr>
          <w:p w:rsidR="00DC6C1E" w:rsidRDefault="00000000">
            <w:pPr>
              <w:ind w:left="0" w:hanging="2"/>
              <w:jc w:val="center"/>
              <w:rPr>
                <w:rFonts w:ascii="Book Antiqua" w:eastAsia="Book Antiqua" w:hAnsi="Book Antiqua" w:cs="Book Antiqua"/>
                <w:sz w:val="24"/>
                <w:szCs w:val="24"/>
              </w:rPr>
            </w:pPr>
            <w:r>
              <w:rPr>
                <w:rFonts w:ascii="Book Antiqua" w:eastAsia="Book Antiqua" w:hAnsi="Book Antiqua" w:cs="Book Antiqua"/>
                <w:sz w:val="24"/>
                <w:szCs w:val="24"/>
              </w:rPr>
              <w:t>Poster</w:t>
            </w:r>
          </w:p>
        </w:tc>
      </w:tr>
      <w:tr w:rsidR="00DC6C1E">
        <w:trPr>
          <w:jc w:val="center"/>
        </w:trPr>
        <w:tc>
          <w:tcPr>
            <w:tcW w:w="3330" w:type="dxa"/>
          </w:tcPr>
          <w:p w:rsidR="00DC6C1E" w:rsidRDefault="00DC6C1E">
            <w:pPr>
              <w:ind w:left="0" w:hanging="2"/>
              <w:jc w:val="center"/>
              <w:rPr>
                <w:rFonts w:ascii="Book Antiqua" w:eastAsia="Book Antiqua" w:hAnsi="Book Antiqua" w:cs="Book Antiqua"/>
                <w:color w:val="1F497D"/>
                <w:sz w:val="16"/>
                <w:szCs w:val="16"/>
              </w:rPr>
            </w:pPr>
          </w:p>
        </w:tc>
        <w:tc>
          <w:tcPr>
            <w:tcW w:w="1710" w:type="dxa"/>
            <w:gridSpan w:val="2"/>
          </w:tcPr>
          <w:p w:rsidR="00DC6C1E" w:rsidRDefault="00DC6C1E">
            <w:pPr>
              <w:ind w:left="0" w:hanging="2"/>
              <w:jc w:val="center"/>
              <w:rPr>
                <w:rFonts w:ascii="Book Antiqua" w:eastAsia="Book Antiqua" w:hAnsi="Book Antiqua" w:cs="Book Antiqua"/>
                <w:color w:val="1F497D"/>
                <w:sz w:val="16"/>
                <w:szCs w:val="16"/>
              </w:rPr>
            </w:pPr>
          </w:p>
        </w:tc>
        <w:tc>
          <w:tcPr>
            <w:tcW w:w="936" w:type="dxa"/>
          </w:tcPr>
          <w:p w:rsidR="00DC6C1E" w:rsidRDefault="00DC6C1E">
            <w:pPr>
              <w:ind w:left="0" w:hanging="2"/>
              <w:jc w:val="center"/>
              <w:rPr>
                <w:rFonts w:ascii="Book Antiqua" w:eastAsia="Book Antiqua" w:hAnsi="Book Antiqua" w:cs="Book Antiqua"/>
                <w:color w:val="1F497D"/>
                <w:sz w:val="16"/>
                <w:szCs w:val="16"/>
              </w:rPr>
            </w:pPr>
          </w:p>
        </w:tc>
        <w:tc>
          <w:tcPr>
            <w:tcW w:w="2218" w:type="dxa"/>
            <w:gridSpan w:val="2"/>
          </w:tcPr>
          <w:p w:rsidR="00DC6C1E" w:rsidRDefault="00DC6C1E">
            <w:pPr>
              <w:ind w:left="0" w:hanging="2"/>
              <w:jc w:val="center"/>
              <w:rPr>
                <w:rFonts w:ascii="Book Antiqua" w:eastAsia="Book Antiqua" w:hAnsi="Book Antiqua" w:cs="Book Antiqua"/>
                <w:color w:val="1F497D"/>
                <w:sz w:val="16"/>
                <w:szCs w:val="16"/>
              </w:rPr>
            </w:pPr>
          </w:p>
        </w:tc>
      </w:tr>
      <w:tr w:rsidR="00DC6C1E">
        <w:trPr>
          <w:jc w:val="center"/>
        </w:trPr>
        <w:tc>
          <w:tcPr>
            <w:tcW w:w="3330" w:type="dxa"/>
          </w:tcPr>
          <w:p w:rsidR="00DC6C1E" w:rsidRDefault="00DC6C1E">
            <w:pPr>
              <w:ind w:left="0" w:hanging="2"/>
              <w:jc w:val="center"/>
              <w:rPr>
                <w:rFonts w:ascii="Book Antiqua" w:eastAsia="Book Antiqua" w:hAnsi="Book Antiqua" w:cs="Book Antiqua"/>
                <w:color w:val="1F497D"/>
                <w:sz w:val="16"/>
                <w:szCs w:val="16"/>
              </w:rPr>
            </w:pPr>
          </w:p>
        </w:tc>
        <w:tc>
          <w:tcPr>
            <w:tcW w:w="1710" w:type="dxa"/>
            <w:gridSpan w:val="2"/>
          </w:tcPr>
          <w:p w:rsidR="00DC6C1E" w:rsidRDefault="00DC6C1E">
            <w:pPr>
              <w:ind w:left="0" w:hanging="2"/>
              <w:jc w:val="center"/>
              <w:rPr>
                <w:rFonts w:ascii="Book Antiqua" w:eastAsia="Book Antiqua" w:hAnsi="Book Antiqua" w:cs="Book Antiqua"/>
                <w:color w:val="1F497D"/>
                <w:sz w:val="16"/>
                <w:szCs w:val="16"/>
              </w:rPr>
            </w:pPr>
          </w:p>
        </w:tc>
        <w:tc>
          <w:tcPr>
            <w:tcW w:w="936" w:type="dxa"/>
          </w:tcPr>
          <w:p w:rsidR="00DC6C1E" w:rsidRDefault="00DC6C1E">
            <w:pPr>
              <w:ind w:left="0" w:hanging="2"/>
              <w:jc w:val="center"/>
              <w:rPr>
                <w:rFonts w:ascii="Book Antiqua" w:eastAsia="Book Antiqua" w:hAnsi="Book Antiqua" w:cs="Book Antiqua"/>
                <w:color w:val="1F497D"/>
                <w:sz w:val="16"/>
                <w:szCs w:val="16"/>
              </w:rPr>
            </w:pPr>
          </w:p>
        </w:tc>
        <w:tc>
          <w:tcPr>
            <w:tcW w:w="2218" w:type="dxa"/>
            <w:gridSpan w:val="2"/>
          </w:tcPr>
          <w:p w:rsidR="00DC6C1E" w:rsidRDefault="00DC6C1E">
            <w:pPr>
              <w:ind w:left="0" w:hanging="2"/>
              <w:jc w:val="center"/>
              <w:rPr>
                <w:rFonts w:ascii="Book Antiqua" w:eastAsia="Book Antiqua" w:hAnsi="Book Antiqua" w:cs="Book Antiqua"/>
                <w:color w:val="1F497D"/>
                <w:sz w:val="16"/>
                <w:szCs w:val="16"/>
              </w:rPr>
            </w:pPr>
          </w:p>
        </w:tc>
      </w:tr>
    </w:tbl>
    <w:p w:rsidR="00DC6C1E" w:rsidRDefault="00000000">
      <w:pPr>
        <w:ind w:left="0" w:hanging="2"/>
        <w:jc w:val="center"/>
        <w:rPr>
          <w:rFonts w:ascii="Book Antiqua" w:eastAsia="Book Antiqua" w:hAnsi="Book Antiqua" w:cs="Book Antiqua"/>
          <w:color w:val="FF0000"/>
          <w:sz w:val="20"/>
          <w:szCs w:val="20"/>
          <w:u w:val="single"/>
        </w:rPr>
      </w:pPr>
      <w:r>
        <w:rPr>
          <w:rFonts w:ascii="Book Antiqua" w:eastAsia="Book Antiqua" w:hAnsi="Book Antiqua" w:cs="Book Antiqua"/>
          <w:color w:val="1F497D"/>
          <w:sz w:val="24"/>
          <w:szCs w:val="24"/>
        </w:rPr>
        <w:t xml:space="preserve">               </w:t>
      </w:r>
      <w:r>
        <w:rPr>
          <w:rFonts w:ascii="Book Antiqua" w:eastAsia="Book Antiqua" w:hAnsi="Book Antiqua" w:cs="Book Antiqua"/>
          <w:color w:val="1F497D"/>
          <w:sz w:val="20"/>
          <w:szCs w:val="20"/>
        </w:rPr>
        <w:t xml:space="preserve"> </w:t>
      </w:r>
      <w:r>
        <w:rPr>
          <w:rFonts w:ascii="Book Antiqua" w:eastAsia="Book Antiqua" w:hAnsi="Book Antiqua" w:cs="Book Antiqua"/>
          <w:color w:val="1F497D"/>
          <w:sz w:val="24"/>
          <w:szCs w:val="24"/>
        </w:rPr>
        <w:br/>
      </w:r>
      <w:r>
        <w:rPr>
          <w:rFonts w:ascii="Book Antiqua" w:eastAsia="Book Antiqua" w:hAnsi="Book Antiqua" w:cs="Book Antiqua"/>
          <w:color w:val="1F497D"/>
          <w:sz w:val="20"/>
          <w:szCs w:val="20"/>
        </w:rPr>
        <w:t xml:space="preserve">             I would like this to be considered as MSBMB Rapid Oral Award </w:t>
      </w:r>
      <w:r>
        <w:rPr>
          <w:rFonts w:ascii="Book Antiqua" w:eastAsia="Book Antiqua" w:hAnsi="Book Antiqua" w:cs="Book Antiqua"/>
          <w:color w:val="FF0000"/>
          <w:sz w:val="20"/>
          <w:szCs w:val="20"/>
          <w:u w:val="single"/>
        </w:rPr>
        <w:br/>
      </w:r>
      <w:r>
        <w:rPr>
          <w:noProof/>
        </w:rPr>
        <mc:AlternateContent>
          <mc:Choice Requires="wpg">
            <w:drawing>
              <wp:anchor distT="0" distB="0" distL="114300" distR="114300" simplePos="0" relativeHeight="251667456" behindDoc="0" locked="0" layoutInCell="1" hidden="0" allowOverlap="1">
                <wp:simplePos x="0" y="0"/>
                <wp:positionH relativeFrom="column">
                  <wp:posOffset>622300</wp:posOffset>
                </wp:positionH>
                <wp:positionV relativeFrom="paragraph">
                  <wp:posOffset>152400</wp:posOffset>
                </wp:positionV>
                <wp:extent cx="203200" cy="209550"/>
                <wp:effectExtent l="0" t="0" r="0" b="0"/>
                <wp:wrapNone/>
                <wp:docPr id="19" name="Rectangle 19"/>
                <wp:cNvGraphicFramePr/>
                <a:graphic xmlns:a="http://schemas.openxmlformats.org/drawingml/2006/main">
                  <a:graphicData uri="http://schemas.microsoft.com/office/word/2010/wordprocessingShape">
                    <wps:wsp>
                      <wps:cNvSpPr/>
                      <wps:spPr>
                        <a:xfrm>
                          <a:off x="5249163" y="3679988"/>
                          <a:ext cx="193675"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C6C1E" w:rsidRDefault="00DC6C1E">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152400</wp:posOffset>
                </wp:positionV>
                <wp:extent cx="203200" cy="209550"/>
                <wp:effectExtent b="0" l="0" r="0" t="0"/>
                <wp:wrapNone/>
                <wp:docPr id="1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03200" cy="209550"/>
                        </a:xfrm>
                        <a:prstGeom prst="rect"/>
                        <a:ln/>
                      </pic:spPr>
                    </pic:pic>
                  </a:graphicData>
                </a:graphic>
              </wp:anchor>
            </w:drawing>
          </mc:Fallback>
        </mc:AlternateContent>
      </w:r>
    </w:p>
    <w:p w:rsidR="00DC6C1E" w:rsidRDefault="00000000">
      <w:pPr>
        <w:ind w:left="0" w:right="285" w:hanging="2"/>
        <w:rPr>
          <w:rFonts w:ascii="Book Antiqua" w:eastAsia="Book Antiqua" w:hAnsi="Book Antiqua" w:cs="Book Antiqua"/>
        </w:rPr>
      </w:pPr>
      <w:r>
        <w:rPr>
          <w:rFonts w:ascii="Book Antiqua" w:eastAsia="Book Antiqua" w:hAnsi="Book Antiqua" w:cs="Book Antiqua"/>
        </w:rPr>
        <w:br/>
        <w:t xml:space="preserve">Abstract Submission Deadline: </w:t>
      </w:r>
      <w:r>
        <w:rPr>
          <w:rFonts w:ascii="Book Antiqua" w:eastAsia="Book Antiqua" w:hAnsi="Book Antiqua" w:cs="Book Antiqua"/>
          <w:b/>
        </w:rPr>
        <w:t>30th June 2025 (Oral and Poster)</w:t>
      </w:r>
    </w:p>
    <w:p w:rsidR="00DC6C1E" w:rsidRDefault="00000000">
      <w:pPr>
        <w:ind w:left="0" w:right="285" w:hanging="2"/>
        <w:rPr>
          <w:rFonts w:ascii="Book Antiqua" w:eastAsia="Book Antiqua" w:hAnsi="Book Antiqua" w:cs="Book Antiqua"/>
        </w:rPr>
      </w:pPr>
      <w:r>
        <w:rPr>
          <w:rFonts w:ascii="Book Antiqua" w:eastAsia="Book Antiqua" w:hAnsi="Book Antiqua" w:cs="Book Antiqua"/>
        </w:rPr>
        <w:t>Abstract submission will be acknowledged as proof of receipt.</w:t>
      </w:r>
    </w:p>
    <w:p w:rsidR="00DC6C1E" w:rsidRDefault="00DC6C1E">
      <w:pPr>
        <w:ind w:left="0" w:right="285" w:hanging="2"/>
        <w:jc w:val="center"/>
        <w:rPr>
          <w:rFonts w:ascii="Book Antiqua" w:eastAsia="Book Antiqua" w:hAnsi="Book Antiqua" w:cs="Book Antiqua"/>
        </w:rPr>
      </w:pPr>
    </w:p>
    <w:p w:rsidR="00DC6C1E" w:rsidRDefault="00000000">
      <w:pPr>
        <w:ind w:left="0" w:right="285" w:hanging="2"/>
        <w:rPr>
          <w:rFonts w:ascii="Book Antiqua" w:eastAsia="Book Antiqua" w:hAnsi="Book Antiqua" w:cs="Book Antiqua"/>
          <w:color w:val="FF0000"/>
        </w:rPr>
      </w:pPr>
      <w:r>
        <w:rPr>
          <w:rFonts w:ascii="Book Antiqua" w:eastAsia="Book Antiqua" w:hAnsi="Book Antiqua" w:cs="Book Antiqua"/>
          <w:color w:val="000000"/>
        </w:rPr>
        <w:t xml:space="preserve">Abstracts will only be accepted for presentation upon receipt of the registration form </w:t>
      </w:r>
      <w:r>
        <w:rPr>
          <w:rFonts w:ascii="Book Antiqua" w:eastAsia="Book Antiqua" w:hAnsi="Book Antiqua" w:cs="Book Antiqua"/>
          <w:b/>
          <w:color w:val="000000"/>
          <w:u w:val="single"/>
        </w:rPr>
        <w:t>AND</w:t>
      </w:r>
      <w:r>
        <w:rPr>
          <w:rFonts w:ascii="Book Antiqua" w:eastAsia="Book Antiqua" w:hAnsi="Book Antiqua" w:cs="Book Antiqua"/>
          <w:color w:val="000000"/>
        </w:rPr>
        <w:t xml:space="preserve"> Registration Fee payment</w:t>
      </w:r>
      <w:r>
        <w:rPr>
          <w:rFonts w:ascii="Book Antiqua" w:eastAsia="Book Antiqua" w:hAnsi="Book Antiqua" w:cs="Book Antiqua"/>
        </w:rPr>
        <w:t>.</w:t>
      </w:r>
    </w:p>
    <w:sectPr w:rsidR="00DC6C1E">
      <w:pgSz w:w="11909" w:h="16834"/>
      <w:pgMar w:top="964" w:right="600" w:bottom="96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8B938E-6472-43C2-894C-2DDE3167B06D}"/>
    <w:embedBold r:id="rId2" w:fontKey="{A49E2DDA-19C0-4D92-AB16-CDA16FAE0D45}"/>
    <w:embedBoldItalic r:id="rId3" w:fontKey="{6250A133-D00D-4B7A-99A2-E1C4A16F0EC2}"/>
  </w:font>
  <w:font w:name="Georgia">
    <w:panose1 w:val="02040502050405020303"/>
    <w:charset w:val="00"/>
    <w:family w:val="auto"/>
    <w:pitch w:val="default"/>
    <w:embedRegular r:id="rId4" w:fontKey="{4E6041EE-99D3-4268-9CE9-5E98855458DD}"/>
    <w:embedItalic r:id="rId5" w:fontKey="{CAE272DC-86CB-429E-AF81-23E786DCC848}"/>
  </w:font>
  <w:font w:name="Book Antiqua">
    <w:panose1 w:val="02040602050305030304"/>
    <w:charset w:val="00"/>
    <w:family w:val="roman"/>
    <w:pitch w:val="variable"/>
    <w:sig w:usb0="00000287" w:usb1="00000000" w:usb2="00000000" w:usb3="00000000" w:csb0="0000009F" w:csb1="00000000"/>
    <w:embedRegular r:id="rId6" w:fontKey="{FA22AD88-5AB0-4F66-87D1-28BA7A2E9C52}"/>
    <w:embedBold r:id="rId7" w:fontKey="{A7984B50-9B53-4016-82B2-C0874B06A90E}"/>
    <w:embedBoldItalic r:id="rId8" w:fontKey="{BA95A78F-FC87-43EE-AF41-1B48AEAFBAD1}"/>
  </w:font>
  <w:font w:name="Calibri">
    <w:panose1 w:val="020F0502020204030204"/>
    <w:charset w:val="00"/>
    <w:family w:val="swiss"/>
    <w:pitch w:val="variable"/>
    <w:sig w:usb0="E4002EFF" w:usb1="C200247B" w:usb2="00000009" w:usb3="00000000" w:csb0="000001FF" w:csb1="00000000"/>
    <w:embedRegular r:id="rId9" w:fontKey="{A8EB07DC-A5E4-405B-99D5-2073BC1F60B9}"/>
  </w:font>
  <w:font w:name="Cambria">
    <w:panose1 w:val="02040503050406030204"/>
    <w:charset w:val="00"/>
    <w:family w:val="roman"/>
    <w:pitch w:val="variable"/>
    <w:sig w:usb0="E00006FF" w:usb1="420024FF" w:usb2="02000000" w:usb3="00000000" w:csb0="0000019F" w:csb1="00000000"/>
    <w:embedRegular r:id="rId10" w:fontKey="{464694FB-4B14-40C6-B362-1A416FCA3D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C0AAC"/>
    <w:multiLevelType w:val="multilevel"/>
    <w:tmpl w:val="0EFAE9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137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1E"/>
    <w:rsid w:val="0086529F"/>
    <w:rsid w:val="00AC29B5"/>
    <w:rsid w:val="00DC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D490"/>
  <w15:docId w15:val="{33C0C7EA-2484-40CE-B100-89AF92FE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sz w:val="40"/>
    </w:rPr>
  </w:style>
  <w:style w:type="paragraph" w:styleId="Heading2">
    <w:name w:val="heading 2"/>
    <w:basedOn w:val="Normal"/>
    <w:next w:val="Normal"/>
    <w:uiPriority w:val="9"/>
    <w:unhideWhenUsed/>
    <w:qFormat/>
    <w:pPr>
      <w:keepNext/>
      <w:jc w:val="center"/>
      <w:outlineLvl w:val="1"/>
    </w:pPr>
    <w:rPr>
      <w:b/>
      <w:snapToGrid w:val="0"/>
      <w:color w:val="000000"/>
      <w:sz w:val="28"/>
    </w:rPr>
  </w:style>
  <w:style w:type="paragraph" w:styleId="Heading3">
    <w:name w:val="heading 3"/>
    <w:basedOn w:val="Normal"/>
    <w:next w:val="Normal"/>
    <w:uiPriority w:val="9"/>
    <w:unhideWhenUsed/>
    <w:qFormat/>
    <w:pPr>
      <w:keepNext/>
      <w:jc w:val="center"/>
      <w:outlineLvl w:val="2"/>
    </w:pPr>
    <w:rPr>
      <w:b/>
      <w:snapToGrid w:val="0"/>
      <w:color w:val="000000"/>
      <w:sz w:val="24"/>
    </w:rPr>
  </w:style>
  <w:style w:type="paragraph" w:styleId="Heading4">
    <w:name w:val="heading 4"/>
    <w:basedOn w:val="Normal"/>
    <w:next w:val="Normal"/>
    <w:uiPriority w:val="9"/>
    <w:semiHidden/>
    <w:unhideWhenUsed/>
    <w:qFormat/>
    <w:pPr>
      <w:keepNext/>
      <w:jc w:val="center"/>
      <w:outlineLvl w:val="3"/>
    </w:pPr>
    <w:rPr>
      <w:b/>
      <w:i/>
      <w:sz w:val="36"/>
    </w:rPr>
  </w:style>
  <w:style w:type="paragraph" w:styleId="Heading5">
    <w:name w:val="heading 5"/>
    <w:basedOn w:val="Normal"/>
    <w:next w:val="Normal"/>
    <w:uiPriority w:val="9"/>
    <w:semiHidden/>
    <w:unhideWhenUsed/>
    <w:qFormat/>
    <w:pPr>
      <w:keepNext/>
      <w:outlineLvl w:val="4"/>
    </w:pPr>
    <w:rPr>
      <w:b/>
      <w:snapToGrid w:val="0"/>
      <w:sz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jc w:val="center"/>
    </w:pPr>
    <w:rPr>
      <w:b/>
      <w:snapToGrid w:val="0"/>
      <w:color w:val="000000"/>
      <w:sz w:val="32"/>
    </w:rPr>
  </w:style>
  <w:style w:type="character" w:styleId="Hyperlink">
    <w:name w:val="Hyperlink"/>
    <w:rPr>
      <w:color w:val="0000FF"/>
      <w:w w:val="100"/>
      <w:position w:val="-1"/>
      <w:u w:val="single"/>
      <w:effect w:val="none"/>
      <w:vertAlign w:val="baseline"/>
      <w:cs w:val="0"/>
      <w:em w:val="none"/>
    </w:rPr>
  </w:style>
  <w:style w:type="character" w:customStyle="1" w:styleId="abshead1">
    <w:name w:val="abshead1"/>
    <w:rPr>
      <w:rFonts w:ascii="Times New Roman" w:hAnsi="Times New Roman" w:cs="Times New Roman" w:hint="default"/>
      <w:b/>
      <w:bCs/>
      <w:color w:val="000000"/>
      <w:w w:val="100"/>
      <w:position w:val="-1"/>
      <w:sz w:val="24"/>
      <w:szCs w:val="24"/>
      <w:effect w:val="none"/>
      <w:vertAlign w:val="baseline"/>
      <w:cs w:val="0"/>
      <w:em w:val="none"/>
    </w:rPr>
  </w:style>
  <w:style w:type="character" w:customStyle="1" w:styleId="abstext1">
    <w:name w:val="abstext1"/>
    <w:rPr>
      <w:rFonts w:ascii="Times New Roman" w:hAnsi="Times New Roman" w:cs="Times New Roman" w:hint="default"/>
      <w:color w:val="000000"/>
      <w:w w:val="100"/>
      <w:position w:val="-1"/>
      <w:sz w:val="24"/>
      <w:szCs w:val="24"/>
      <w:effect w:val="none"/>
      <w:vertAlign w:val="baseline"/>
      <w:cs w:val="0"/>
      <w:em w:val="none"/>
    </w:rPr>
  </w:style>
  <w:style w:type="character" w:customStyle="1" w:styleId="absinv1">
    <w:name w:val="absinv1"/>
    <w:rPr>
      <w:rFonts w:ascii="Times New Roman" w:hAnsi="Times New Roman" w:cs="Times New Roman" w:hint="default"/>
      <w:color w:val="000000"/>
      <w:w w:val="100"/>
      <w:position w:val="-1"/>
      <w:sz w:val="24"/>
      <w:szCs w:val="24"/>
      <w:u w:val="single"/>
      <w:effect w:val="none"/>
      <w:vertAlign w:val="baseline"/>
      <w:cs w:val="0"/>
      <w:em w:val="none"/>
    </w:rPr>
  </w:style>
  <w:style w:type="character" w:customStyle="1" w:styleId="absaff1">
    <w:name w:val="absaff1"/>
    <w:rPr>
      <w:rFonts w:ascii="Times New Roman" w:hAnsi="Times New Roman" w:cs="Times New Roman" w:hint="default"/>
      <w:i/>
      <w:iCs/>
      <w:color w:val="000000"/>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1CI+WPYmsWsPG8KbcFcGwwyvg==">CgMxLjA4AHIhMWo0SzFSN1A3bU45S3NtQUxPRHhJNUZTdFViSkpVNDF0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4813</Characters>
  <Application>Microsoft Office Word</Application>
  <DocSecurity>0</DocSecurity>
  <Lines>40</Lines>
  <Paragraphs>11</Paragraphs>
  <ScaleCrop>false</ScaleCrop>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WKL</dc:creator>
  <cp:lastModifiedBy>Malaysian Association of Clinical Biochemists (MACB)</cp:lastModifiedBy>
  <cp:revision>2</cp:revision>
  <dcterms:created xsi:type="dcterms:W3CDTF">2025-01-10T11:36:00Z</dcterms:created>
  <dcterms:modified xsi:type="dcterms:W3CDTF">2025-04-16T23:28:00Z</dcterms:modified>
</cp:coreProperties>
</file>